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2A" w:rsidRPr="00166DFB" w:rsidRDefault="00007066" w:rsidP="00E6669F">
      <w:pPr>
        <w:jc w:val="center"/>
        <w:outlineLvl w:val="0"/>
      </w:pPr>
      <w:r w:rsidRPr="00166DFB">
        <w:rPr>
          <w:noProof/>
        </w:rPr>
        <w:drawing>
          <wp:anchor distT="0" distB="0" distL="114300" distR="114300" simplePos="0" relativeHeight="251658752" behindDoc="1" locked="0" layoutInCell="1" allowOverlap="1" wp14:anchorId="2CF3CCDC" wp14:editId="2006ECA4">
            <wp:simplePos x="0" y="0"/>
            <wp:positionH relativeFrom="column">
              <wp:posOffset>4143375</wp:posOffset>
            </wp:positionH>
            <wp:positionV relativeFrom="paragraph">
              <wp:posOffset>130175</wp:posOffset>
            </wp:positionV>
            <wp:extent cx="1610360" cy="2215075"/>
            <wp:effectExtent l="0" t="0" r="889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D-8596A_in use small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91" cy="2229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0042" w:rsidRPr="00166DFB">
        <w:rPr>
          <w:sz w:val="32"/>
        </w:rPr>
        <w:t>Boyle’s</w:t>
      </w:r>
      <w:r w:rsidR="00EC58EC" w:rsidRPr="00166DFB">
        <w:rPr>
          <w:sz w:val="32"/>
        </w:rPr>
        <w:t xml:space="preserve"> Law</w:t>
      </w:r>
    </w:p>
    <w:p w:rsidR="00FB162A" w:rsidRDefault="00FB162A" w:rsidP="00E6669F">
      <w:pPr>
        <w:rPr>
          <w:b/>
        </w:rPr>
      </w:pPr>
    </w:p>
    <w:p w:rsidR="00FB162A" w:rsidRPr="00166DFB" w:rsidRDefault="00FB162A" w:rsidP="00E6669F">
      <w:pPr>
        <w:outlineLvl w:val="0"/>
        <w:rPr>
          <w:sz w:val="28"/>
          <w:szCs w:val="28"/>
        </w:rPr>
      </w:pPr>
      <w:r w:rsidRPr="00166DFB">
        <w:rPr>
          <w:sz w:val="28"/>
          <w:szCs w:val="28"/>
        </w:rPr>
        <w:t>E</w:t>
      </w:r>
      <w:r w:rsidR="00121F30" w:rsidRPr="00166DFB">
        <w:rPr>
          <w:sz w:val="28"/>
          <w:szCs w:val="28"/>
        </w:rPr>
        <w:t>quipment</w:t>
      </w:r>
    </w:p>
    <w:p w:rsidR="00FB162A" w:rsidRDefault="00FB162A" w:rsidP="00E6669F">
      <w:pPr>
        <w:rPr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150"/>
        <w:gridCol w:w="1260"/>
      </w:tblGrid>
      <w:tr w:rsidR="00FB162A" w:rsidTr="007A6CBF"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62A" w:rsidRDefault="00FB162A" w:rsidP="00E6669F">
            <w:pPr>
              <w:rPr>
                <w:color w:val="00000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62A" w:rsidRPr="00166DFB" w:rsidRDefault="00FB162A" w:rsidP="00E6669F">
            <w:pPr>
              <w:rPr>
                <w:color w:val="000000"/>
              </w:rPr>
            </w:pPr>
            <w:r w:rsidRPr="00166DFB">
              <w:rPr>
                <w:color w:val="000000"/>
              </w:rPr>
              <w:t>R</w:t>
            </w:r>
            <w:r w:rsidR="002F2112" w:rsidRPr="00166DFB">
              <w:rPr>
                <w:color w:val="000000"/>
              </w:rPr>
              <w:t>equired</w:t>
            </w:r>
            <w:r w:rsidRPr="00166DFB">
              <w:rPr>
                <w:color w:val="000000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62A" w:rsidRDefault="00FB162A" w:rsidP="00E6669F">
            <w:pPr>
              <w:rPr>
                <w:color w:val="000000"/>
              </w:rPr>
            </w:pPr>
          </w:p>
        </w:tc>
      </w:tr>
      <w:tr w:rsidR="00FB162A" w:rsidTr="007A6CBF">
        <w:tc>
          <w:tcPr>
            <w:tcW w:w="450" w:type="dxa"/>
            <w:tcBorders>
              <w:top w:val="single" w:sz="4" w:space="0" w:color="auto"/>
            </w:tcBorders>
          </w:tcPr>
          <w:p w:rsidR="00FB162A" w:rsidRDefault="00F178A8" w:rsidP="00E6669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FB162A" w:rsidRPr="00166DFB" w:rsidRDefault="00741F2E" w:rsidP="00E6669F">
            <w:pPr>
              <w:rPr>
                <w:color w:val="000000"/>
              </w:rPr>
            </w:pPr>
            <w:r w:rsidRPr="00166DFB">
              <w:rPr>
                <w:color w:val="000000"/>
              </w:rPr>
              <w:t>Ideal Gas Law Syringe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B162A" w:rsidRDefault="00741F2E" w:rsidP="00E6669F">
            <w:pPr>
              <w:rPr>
                <w:color w:val="000000"/>
              </w:rPr>
            </w:pPr>
            <w:r>
              <w:rPr>
                <w:color w:val="000000"/>
              </w:rPr>
              <w:t>TD-8596</w:t>
            </w:r>
          </w:p>
        </w:tc>
      </w:tr>
      <w:tr w:rsidR="00FF0042" w:rsidTr="007A6CBF">
        <w:tc>
          <w:tcPr>
            <w:tcW w:w="450" w:type="dxa"/>
          </w:tcPr>
          <w:p w:rsidR="00FF0042" w:rsidRDefault="00FF0042" w:rsidP="00E6669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50" w:type="dxa"/>
          </w:tcPr>
          <w:p w:rsidR="00FF0042" w:rsidRPr="00166DFB" w:rsidRDefault="00FF0042" w:rsidP="00E6669F">
            <w:pPr>
              <w:rPr>
                <w:color w:val="000000"/>
              </w:rPr>
            </w:pPr>
            <w:r w:rsidRPr="00166DFB">
              <w:rPr>
                <w:color w:val="000000"/>
              </w:rPr>
              <w:t>Absolute Pressure Sensor</w:t>
            </w:r>
          </w:p>
        </w:tc>
        <w:tc>
          <w:tcPr>
            <w:tcW w:w="1260" w:type="dxa"/>
          </w:tcPr>
          <w:p w:rsidR="00FF0042" w:rsidRDefault="00FF0042" w:rsidP="00E6669F">
            <w:pPr>
              <w:rPr>
                <w:color w:val="000000"/>
              </w:rPr>
            </w:pPr>
            <w:r>
              <w:rPr>
                <w:color w:val="000000"/>
              </w:rPr>
              <w:t>PS-2107</w:t>
            </w:r>
          </w:p>
        </w:tc>
      </w:tr>
      <w:tr w:rsidR="00FF0042" w:rsidTr="007A6CBF">
        <w:tc>
          <w:tcPr>
            <w:tcW w:w="450" w:type="dxa"/>
          </w:tcPr>
          <w:p w:rsidR="00FF0042" w:rsidRDefault="00FF0042" w:rsidP="00E6669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50" w:type="dxa"/>
          </w:tcPr>
          <w:p w:rsidR="00FF0042" w:rsidRPr="00166DFB" w:rsidRDefault="00FF0042" w:rsidP="00E6669F">
            <w:pPr>
              <w:rPr>
                <w:color w:val="000000"/>
              </w:rPr>
            </w:pPr>
            <w:r w:rsidRPr="00166DFB">
              <w:rPr>
                <w:color w:val="000000"/>
              </w:rPr>
              <w:t>Quad Temperature Sensor</w:t>
            </w:r>
          </w:p>
        </w:tc>
        <w:tc>
          <w:tcPr>
            <w:tcW w:w="1260" w:type="dxa"/>
          </w:tcPr>
          <w:p w:rsidR="00FF0042" w:rsidRDefault="00FF0042" w:rsidP="00E6669F">
            <w:pPr>
              <w:rPr>
                <w:color w:val="000000"/>
              </w:rPr>
            </w:pPr>
            <w:r>
              <w:rPr>
                <w:color w:val="000000"/>
              </w:rPr>
              <w:t>PS-2143</w:t>
            </w:r>
          </w:p>
        </w:tc>
      </w:tr>
      <w:tr w:rsidR="00FB162A" w:rsidTr="007A6CBF"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62A" w:rsidRDefault="00FB162A" w:rsidP="00E6669F">
            <w:pPr>
              <w:rPr>
                <w:color w:val="00000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62A" w:rsidRPr="00166DFB" w:rsidRDefault="002F2112" w:rsidP="00E6669F">
            <w:pPr>
              <w:rPr>
                <w:color w:val="000000"/>
              </w:rPr>
            </w:pPr>
            <w:r w:rsidRPr="00166DFB">
              <w:rPr>
                <w:color w:val="000000"/>
              </w:rPr>
              <w:t>Not included, but required</w:t>
            </w:r>
            <w:r w:rsidR="00FB162A" w:rsidRPr="00166DFB">
              <w:rPr>
                <w:color w:val="000000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62A" w:rsidRDefault="00FB162A" w:rsidP="00E6669F">
            <w:pPr>
              <w:rPr>
                <w:color w:val="000000"/>
              </w:rPr>
            </w:pPr>
          </w:p>
        </w:tc>
      </w:tr>
      <w:tr w:rsidR="00F178A8" w:rsidTr="007A6CBF">
        <w:tc>
          <w:tcPr>
            <w:tcW w:w="450" w:type="dxa"/>
            <w:tcBorders>
              <w:top w:val="single" w:sz="4" w:space="0" w:color="auto"/>
            </w:tcBorders>
          </w:tcPr>
          <w:p w:rsidR="00F178A8" w:rsidRDefault="00F178A8" w:rsidP="00E6669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F178A8" w:rsidRDefault="00F178A8" w:rsidP="00E6669F">
            <w:pPr>
              <w:rPr>
                <w:color w:val="000000"/>
              </w:rPr>
            </w:pPr>
            <w:r>
              <w:rPr>
                <w:color w:val="000000"/>
              </w:rPr>
              <w:t>850 Universal Interface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178A8" w:rsidRDefault="00F178A8" w:rsidP="00E6669F">
            <w:pPr>
              <w:rPr>
                <w:color w:val="000000"/>
              </w:rPr>
            </w:pPr>
            <w:r>
              <w:rPr>
                <w:color w:val="000000"/>
              </w:rPr>
              <w:t>UI-5000</w:t>
            </w:r>
          </w:p>
        </w:tc>
      </w:tr>
      <w:tr w:rsidR="00F178A8" w:rsidTr="007A6CBF">
        <w:tc>
          <w:tcPr>
            <w:tcW w:w="450" w:type="dxa"/>
            <w:tcBorders>
              <w:top w:val="single" w:sz="4" w:space="0" w:color="auto"/>
            </w:tcBorders>
          </w:tcPr>
          <w:p w:rsidR="00F178A8" w:rsidRDefault="00F178A8" w:rsidP="00E6669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F178A8" w:rsidRDefault="00F178A8" w:rsidP="00E6669F">
            <w:pPr>
              <w:rPr>
                <w:color w:val="000000"/>
              </w:rPr>
            </w:pPr>
            <w:r>
              <w:rPr>
                <w:color w:val="000000"/>
              </w:rPr>
              <w:t>PASCO Capstone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178A8" w:rsidRDefault="00426C7D" w:rsidP="00E6669F">
            <w:pPr>
              <w:rPr>
                <w:color w:val="000000"/>
              </w:rPr>
            </w:pPr>
            <w:r>
              <w:rPr>
                <w:color w:val="000000"/>
              </w:rPr>
              <w:t>UI-5400</w:t>
            </w:r>
          </w:p>
        </w:tc>
      </w:tr>
    </w:tbl>
    <w:p w:rsidR="00FB162A" w:rsidRDefault="00FB162A" w:rsidP="00E6669F">
      <w:pPr>
        <w:rPr>
          <w:b/>
          <w:u w:val="single"/>
        </w:rPr>
      </w:pPr>
    </w:p>
    <w:p w:rsidR="00007066" w:rsidRDefault="00007066" w:rsidP="00E6669F">
      <w:pPr>
        <w:rPr>
          <w:b/>
          <w:u w:val="single"/>
        </w:rPr>
      </w:pPr>
    </w:p>
    <w:p w:rsidR="00FB162A" w:rsidRPr="00166DFB" w:rsidRDefault="007A6CBF" w:rsidP="00E6669F">
      <w:pPr>
        <w:outlineLvl w:val="0"/>
        <w:rPr>
          <w:sz w:val="28"/>
          <w:szCs w:val="28"/>
        </w:rPr>
      </w:pPr>
      <w:r w:rsidRPr="00166DF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89260A" wp14:editId="3585381B">
                <wp:simplePos x="0" y="0"/>
                <wp:positionH relativeFrom="column">
                  <wp:posOffset>3638550</wp:posOffset>
                </wp:positionH>
                <wp:positionV relativeFrom="paragraph">
                  <wp:posOffset>53975</wp:posOffset>
                </wp:positionV>
                <wp:extent cx="2152650" cy="381000"/>
                <wp:effectExtent l="0" t="0" r="0" b="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7989" w:rsidRPr="007A6CBF" w:rsidRDefault="001A7989" w:rsidP="001A7989">
                            <w:pPr>
                              <w:pStyle w:val="Caption"/>
                              <w:rPr>
                                <w:b w:val="0"/>
                                <w:i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t xml:space="preserve">Figure </w:t>
                            </w:r>
                            <w:r w:rsidR="00E36B3B"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="00E36B3B"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instrText xml:space="preserve"> SEQ Figure \* ARABIC </w:instrText>
                            </w:r>
                            <w:r w:rsidR="00E36B3B"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A6CBF" w:rsidRPr="007A6CBF">
                              <w:rPr>
                                <w:b w:val="0"/>
                                <w:i/>
                                <w:noProof/>
                                <w:color w:val="auto"/>
                                <w:sz w:val="24"/>
                                <w:szCs w:val="24"/>
                              </w:rPr>
                              <w:t>1</w:t>
                            </w:r>
                            <w:r w:rsidR="00E36B3B" w:rsidRPr="007A6CBF">
                              <w:rPr>
                                <w:b w:val="0"/>
                                <w:i/>
                                <w:noProof/>
                                <w:color w:val="auto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t>: Ideal Gas Law Syringe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89260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86.5pt;margin-top:4.25pt;width:169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" filled="f" stroked="f">
                <v:textbox inset="0,0,0,0">
                  <w:txbxContent>
                    <w:p w:rsidR="001A7989" w:rsidRPr="007A6CBF" w:rsidRDefault="001A7989" w:rsidP="001A7989">
                      <w:pPr>
                        <w:pStyle w:val="Caption"/>
                        <w:rPr>
                          <w:b w:val="0"/>
                          <w:i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t xml:space="preserve">Figure </w:t>
                      </w:r>
                      <w:r w:rsidR="00E36B3B"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fldChar w:fldCharType="begin"/>
                      </w:r>
                      <w:r w:rsidR="00E36B3B"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instrText xml:space="preserve"> SEQ Figure \* ARABIC </w:instrText>
                      </w:r>
                      <w:r w:rsidR="00E36B3B"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fldChar w:fldCharType="separate"/>
                      </w:r>
                      <w:r w:rsidR="007A6CBF" w:rsidRPr="007A6CBF">
                        <w:rPr>
                          <w:b w:val="0"/>
                          <w:i/>
                          <w:noProof/>
                          <w:color w:val="auto"/>
                          <w:sz w:val="24"/>
                          <w:szCs w:val="24"/>
                        </w:rPr>
                        <w:t>1</w:t>
                      </w:r>
                      <w:r w:rsidR="00E36B3B" w:rsidRPr="007A6CBF">
                        <w:rPr>
                          <w:b w:val="0"/>
                          <w:i/>
                          <w:noProof/>
                          <w:color w:val="auto"/>
                          <w:sz w:val="24"/>
                          <w:szCs w:val="24"/>
                        </w:rPr>
                        <w:fldChar w:fldCharType="end"/>
                      </w: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t>: Ideal Gas Law Syringe</w:t>
                      </w:r>
                    </w:p>
                  </w:txbxContent>
                </v:textbox>
              </v:shape>
            </w:pict>
          </mc:Fallback>
        </mc:AlternateContent>
      </w:r>
      <w:r w:rsidR="00FB162A" w:rsidRPr="00166DFB">
        <w:rPr>
          <w:sz w:val="28"/>
          <w:szCs w:val="28"/>
        </w:rPr>
        <w:t>I</w:t>
      </w:r>
      <w:r w:rsidR="00121F30" w:rsidRPr="00166DFB">
        <w:rPr>
          <w:sz w:val="28"/>
          <w:szCs w:val="28"/>
        </w:rPr>
        <w:t>ntroduction</w:t>
      </w:r>
    </w:p>
    <w:p w:rsidR="00FB162A" w:rsidRDefault="007A6CBF" w:rsidP="00E6669F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730EE6" w:rsidRDefault="00121F30" w:rsidP="00E6669F">
      <w:pPr>
        <w:rPr>
          <w:color w:val="000000"/>
        </w:rPr>
      </w:pPr>
      <w:r>
        <w:t>In 1662, Robert Boyle discovered the relationship between</w:t>
      </w:r>
      <w:r w:rsidRPr="00121F30">
        <w:rPr>
          <w:color w:val="000000"/>
        </w:rPr>
        <w:t xml:space="preserve"> </w:t>
      </w:r>
      <w:r>
        <w:rPr>
          <w:color w:val="000000"/>
        </w:rPr>
        <w:t>the volume and the absolute pressure of a gas that is at a constant temperature. In this experiment, you will rediscover this relationship by holding the</w:t>
      </w:r>
      <w:r w:rsidR="005D14A8">
        <w:rPr>
          <w:color w:val="000000"/>
        </w:rPr>
        <w:t xml:space="preserve"> temperature of a gas</w:t>
      </w:r>
      <w:r>
        <w:rPr>
          <w:color w:val="000000"/>
        </w:rPr>
        <w:t xml:space="preserve"> </w:t>
      </w:r>
      <w:r w:rsidR="00D271AE">
        <w:rPr>
          <w:color w:val="000000"/>
        </w:rPr>
        <w:t xml:space="preserve">constant and </w:t>
      </w:r>
      <w:r>
        <w:rPr>
          <w:color w:val="000000"/>
        </w:rPr>
        <w:t>changing</w:t>
      </w:r>
      <w:r w:rsidR="00D271AE">
        <w:rPr>
          <w:color w:val="000000"/>
        </w:rPr>
        <w:t xml:space="preserve"> the volume of the gas, </w:t>
      </w:r>
      <w:r>
        <w:rPr>
          <w:color w:val="000000"/>
        </w:rPr>
        <w:t xml:space="preserve">and measuring </w:t>
      </w:r>
      <w:r w:rsidR="00D271AE">
        <w:rPr>
          <w:color w:val="000000"/>
        </w:rPr>
        <w:t>the v</w:t>
      </w:r>
      <w:r>
        <w:rPr>
          <w:color w:val="000000"/>
        </w:rPr>
        <w:t>olume and the absolute pressure.</w:t>
      </w:r>
    </w:p>
    <w:p w:rsidR="00157D4F" w:rsidRDefault="00157D4F" w:rsidP="00E6669F">
      <w:pPr>
        <w:pStyle w:val="BodyText"/>
        <w:spacing w:before="0"/>
      </w:pPr>
    </w:p>
    <w:p w:rsidR="00FB162A" w:rsidRPr="00166DFB" w:rsidRDefault="007A6CBF" w:rsidP="00E6669F">
      <w:pPr>
        <w:outlineLvl w:val="0"/>
        <w:rPr>
          <w:sz w:val="28"/>
          <w:szCs w:val="28"/>
        </w:rPr>
      </w:pPr>
      <w:r w:rsidRPr="00166DF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2E0641" wp14:editId="10B2D8AD">
                <wp:simplePos x="0" y="0"/>
                <wp:positionH relativeFrom="column">
                  <wp:posOffset>3228975</wp:posOffset>
                </wp:positionH>
                <wp:positionV relativeFrom="paragraph">
                  <wp:posOffset>1769745</wp:posOffset>
                </wp:positionV>
                <wp:extent cx="2593340" cy="6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3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6CBF" w:rsidRPr="007A6CBF" w:rsidRDefault="007A6CBF" w:rsidP="007A6CBF">
                            <w:pPr>
                              <w:pStyle w:val="Caption"/>
                              <w:rPr>
                                <w:b w:val="0"/>
                                <w:i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t xml:space="preserve">Figure </w:t>
                            </w: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instrText xml:space="preserve"> SEQ Figure \* ARABIC </w:instrText>
                            </w: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7A6CBF">
                              <w:rPr>
                                <w:b w:val="0"/>
                                <w:i/>
                                <w:noProof/>
                                <w:color w:val="auto"/>
                                <w:sz w:val="24"/>
                                <w:szCs w:val="24"/>
                              </w:rPr>
                              <w:t>2</w:t>
                            </w: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A6CBF">
                              <w:rPr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</w:rPr>
                              <w:t>: Attaching the Sensors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E0641" id="Text Box 1" o:spid="_x0000_s1027" type="#_x0000_t202" style="position:absolute;margin-left:254.25pt;margin-top:139.35pt;width:204.2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" stroked="f">
                <v:textbox style="mso-fit-shape-to-text:t" inset="0,0,0,0">
                  <w:txbxContent>
                    <w:p w:rsidR="007A6CBF" w:rsidRPr="007A6CBF" w:rsidRDefault="007A6CBF" w:rsidP="007A6CBF">
                      <w:pPr>
                        <w:pStyle w:val="Caption"/>
                        <w:rPr>
                          <w:b w:val="0"/>
                          <w:i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t xml:space="preserve">Figure </w:t>
                      </w: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fldChar w:fldCharType="begin"/>
                      </w: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instrText xml:space="preserve"> SEQ Figure \* ARABIC </w:instrText>
                      </w: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fldChar w:fldCharType="separate"/>
                      </w:r>
                      <w:r w:rsidRPr="007A6CBF">
                        <w:rPr>
                          <w:b w:val="0"/>
                          <w:i/>
                          <w:noProof/>
                          <w:color w:val="auto"/>
                          <w:sz w:val="24"/>
                          <w:szCs w:val="24"/>
                        </w:rPr>
                        <w:t>2</w:t>
                      </w: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fldChar w:fldCharType="end"/>
                      </w:r>
                      <w:r w:rsidRPr="007A6CBF">
                        <w:rPr>
                          <w:b w:val="0"/>
                          <w:i/>
                          <w:color w:val="auto"/>
                          <w:sz w:val="24"/>
                          <w:szCs w:val="24"/>
                        </w:rPr>
                        <w:t>: Attaching the Sensors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66DFB"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047F6A40" wp14:editId="271BD891">
            <wp:simplePos x="0" y="0"/>
            <wp:positionH relativeFrom="column">
              <wp:posOffset>3228975</wp:posOffset>
            </wp:positionH>
            <wp:positionV relativeFrom="paragraph">
              <wp:posOffset>28575</wp:posOffset>
            </wp:positionV>
            <wp:extent cx="2593340" cy="1684020"/>
            <wp:effectExtent l="19050" t="19050" r="16510" b="1143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eal Gas Law Connecti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340" cy="16840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B162A" w:rsidRPr="00166DFB">
        <w:rPr>
          <w:sz w:val="28"/>
          <w:szCs w:val="28"/>
        </w:rPr>
        <w:t>S</w:t>
      </w:r>
      <w:r w:rsidR="00121F30" w:rsidRPr="00166DFB">
        <w:rPr>
          <w:sz w:val="28"/>
          <w:szCs w:val="28"/>
        </w:rPr>
        <w:t>etup</w:t>
      </w:r>
    </w:p>
    <w:p w:rsidR="00D3622C" w:rsidRDefault="00D3622C" w:rsidP="00E6669F">
      <w:pPr>
        <w:pStyle w:val="CM22"/>
        <w:spacing w:after="0" w:line="280" w:lineRule="atLeast"/>
        <w:ind w:right="415"/>
        <w:rPr>
          <w:rFonts w:ascii="Times New Roman" w:hAnsi="Times New Roman" w:cs="Times New Roman"/>
        </w:rPr>
      </w:pPr>
    </w:p>
    <w:p w:rsidR="004A39CF" w:rsidRDefault="006B478C" w:rsidP="00E6669F">
      <w:pPr>
        <w:pStyle w:val="CM22"/>
        <w:spacing w:after="0" w:line="280" w:lineRule="atLeast"/>
        <w:ind w:right="4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Ideal Gas Law Syringe allows simultaneous measurements of temperature and pressure of a gas as it is compressed. </w:t>
      </w:r>
      <w:r w:rsidR="006852A0">
        <w:rPr>
          <w:rFonts w:ascii="Times New Roman" w:hAnsi="Times New Roman" w:cs="Times New Roman"/>
        </w:rPr>
        <w:t>The mini stereo jack is connected to a</w:t>
      </w:r>
      <w:r>
        <w:rPr>
          <w:rFonts w:ascii="Times New Roman" w:hAnsi="Times New Roman" w:cs="Times New Roman"/>
        </w:rPr>
        <w:t xml:space="preserve"> low thermal mass thermistor built into the end of the syringe to measure temperature changes inside the syringe. </w:t>
      </w:r>
      <w:r w:rsidR="006852A0">
        <w:rPr>
          <w:rFonts w:ascii="Times New Roman" w:hAnsi="Times New Roman" w:cs="Times New Roman"/>
        </w:rPr>
        <w:t xml:space="preserve">The mini stereo jack plugs directly into the sensor.  </w:t>
      </w:r>
    </w:p>
    <w:p w:rsidR="00D3622C" w:rsidRDefault="00D3622C" w:rsidP="00E6669F">
      <w:pPr>
        <w:pStyle w:val="Default"/>
      </w:pPr>
    </w:p>
    <w:p w:rsidR="007A6CBF" w:rsidRDefault="007A6CBF" w:rsidP="00E6669F">
      <w:pPr>
        <w:pStyle w:val="Default"/>
      </w:pPr>
    </w:p>
    <w:p w:rsidR="007A6CBF" w:rsidRPr="00D3622C" w:rsidRDefault="007A6CBF" w:rsidP="00E6669F">
      <w:pPr>
        <w:pStyle w:val="Default"/>
      </w:pPr>
    </w:p>
    <w:p w:rsidR="006852A0" w:rsidRDefault="006852A0" w:rsidP="00E6669F">
      <w:pPr>
        <w:pStyle w:val="CM22"/>
        <w:spacing w:after="0" w:line="280" w:lineRule="atLeast"/>
        <w:ind w:right="4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white plastic tubing coupler attaches to the pressure port of the sensor:  A slight twisting motion lo</w:t>
      </w:r>
      <w:r w:rsidR="004A39CF">
        <w:rPr>
          <w:rFonts w:ascii="Times New Roman" w:hAnsi="Times New Roman" w:cs="Times New Roman"/>
        </w:rPr>
        <w:t xml:space="preserve">cks the coupler onto the port.  </w:t>
      </w:r>
      <w:r w:rsidR="007B3D92">
        <w:rPr>
          <w:rFonts w:ascii="Times New Roman" w:hAnsi="Times New Roman" w:cs="Times New Roman"/>
        </w:rPr>
        <w:t>This white plastic</w:t>
      </w:r>
      <w:r w:rsidR="00B832DC">
        <w:rPr>
          <w:rFonts w:ascii="Times New Roman" w:hAnsi="Times New Roman" w:cs="Times New Roman"/>
        </w:rPr>
        <w:t xml:space="preserve"> </w:t>
      </w:r>
      <w:r w:rsidR="007B3D92">
        <w:rPr>
          <w:rFonts w:ascii="Times New Roman" w:hAnsi="Times New Roman" w:cs="Times New Roman"/>
        </w:rPr>
        <w:t xml:space="preserve">connector can be disconnected and re-connected during the experiment to allow for different initial plunger positions. </w:t>
      </w:r>
      <w:r w:rsidR="004A39CF">
        <w:rPr>
          <w:rFonts w:ascii="Times New Roman" w:hAnsi="Times New Roman" w:cs="Times New Roman"/>
        </w:rPr>
        <w:t xml:space="preserve"> </w:t>
      </w:r>
    </w:p>
    <w:p w:rsidR="006B478C" w:rsidRDefault="006B478C" w:rsidP="00E6669F">
      <w:pPr>
        <w:pStyle w:val="CM22"/>
        <w:spacing w:after="0" w:line="280" w:lineRule="atLeast"/>
        <w:ind w:right="4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plunger is equipped with a mechanical stop that protects the thermistor, and also allows for a quick, predetermined change in volume. </w:t>
      </w:r>
      <w:r w:rsidR="006852A0">
        <w:rPr>
          <w:rFonts w:ascii="Times New Roman" w:hAnsi="Times New Roman" w:cs="Times New Roman"/>
        </w:rPr>
        <w:t xml:space="preserve">  Never sla</w:t>
      </w:r>
      <w:r w:rsidR="00E26407">
        <w:rPr>
          <w:rFonts w:ascii="Times New Roman" w:hAnsi="Times New Roman" w:cs="Times New Roman"/>
        </w:rPr>
        <w:t>m the plunger down on the table.</w:t>
      </w:r>
      <w:r w:rsidR="006852A0">
        <w:rPr>
          <w:rFonts w:ascii="Times New Roman" w:hAnsi="Times New Roman" w:cs="Times New Roman"/>
        </w:rPr>
        <w:t xml:space="preserve">  Always grip the syringe and plunger as shown to compress the air.</w:t>
      </w:r>
      <w:r w:rsidR="00F17381">
        <w:rPr>
          <w:rFonts w:ascii="Times New Roman" w:hAnsi="Times New Roman" w:cs="Times New Roman"/>
        </w:rPr>
        <w:t xml:space="preserve">  </w:t>
      </w:r>
    </w:p>
    <w:p w:rsidR="00523D67" w:rsidRDefault="00523D67" w:rsidP="00E6669F">
      <w:pPr>
        <w:rPr>
          <w:b/>
        </w:rPr>
      </w:pPr>
    </w:p>
    <w:p w:rsidR="00121F30" w:rsidRDefault="00121F30" w:rsidP="00E6669F">
      <w:pPr>
        <w:widowControl/>
        <w:autoSpaceDE/>
        <w:autoSpaceDN/>
        <w:adjustRightInd/>
      </w:pPr>
      <w:r>
        <w:br w:type="page"/>
      </w:r>
    </w:p>
    <w:p w:rsidR="00BA6B37" w:rsidRDefault="00BA6B37" w:rsidP="00E6669F"/>
    <w:p w:rsidR="00523D67" w:rsidRPr="00166DFB" w:rsidRDefault="00523D67" w:rsidP="00E6669F">
      <w:pPr>
        <w:outlineLvl w:val="0"/>
        <w:rPr>
          <w:sz w:val="28"/>
          <w:szCs w:val="28"/>
        </w:rPr>
      </w:pPr>
      <w:r w:rsidRPr="00166DFB">
        <w:rPr>
          <w:sz w:val="28"/>
          <w:szCs w:val="28"/>
        </w:rPr>
        <w:t>P</w:t>
      </w:r>
      <w:r w:rsidR="00121F30" w:rsidRPr="00166DFB">
        <w:rPr>
          <w:sz w:val="28"/>
          <w:szCs w:val="28"/>
        </w:rPr>
        <w:t>rocedure</w:t>
      </w:r>
    </w:p>
    <w:p w:rsidR="00523D67" w:rsidRDefault="00523D67" w:rsidP="00E6669F"/>
    <w:p w:rsidR="00435BBB" w:rsidRDefault="00355DD3" w:rsidP="00E6669F">
      <w:pPr>
        <w:pStyle w:val="ListParagraph"/>
        <w:numPr>
          <w:ilvl w:val="0"/>
          <w:numId w:val="4"/>
        </w:numPr>
      </w:pPr>
      <w:r>
        <w:t>Add</w:t>
      </w:r>
      <w:r w:rsidR="00263612">
        <w:t xml:space="preserve"> a </w:t>
      </w:r>
      <w:r w:rsidR="00435BBB">
        <w:t xml:space="preserve">table with </w:t>
      </w:r>
      <w:r w:rsidR="009825EA">
        <w:t>temperature</w:t>
      </w:r>
      <w:r w:rsidR="00435BBB">
        <w:t>, Absolute Pressure, and Syringe Volume (units of ml) (a new user-entered set)</w:t>
      </w:r>
      <w:r w:rsidR="009825EA">
        <w:t xml:space="preserve"> in </w:t>
      </w:r>
      <w:r w:rsidR="00E845BC">
        <w:t>PASCO Capstone.</w:t>
      </w:r>
      <w:r w:rsidR="00435BBB">
        <w:t xml:space="preserve"> Pre-fill the Syringe Volume with the values 50 ml, 45, 40, 35, 30, 25. </w:t>
      </w:r>
    </w:p>
    <w:p w:rsidR="00435BBB" w:rsidRDefault="00435BBB" w:rsidP="00E6669F">
      <w:pPr>
        <w:pStyle w:val="ListParagraph"/>
        <w:numPr>
          <w:ilvl w:val="0"/>
          <w:numId w:val="4"/>
        </w:numPr>
      </w:pPr>
      <w:r>
        <w:t>Set the sample rate to 20 Hz and change to the Manual Sampling Mode.</w:t>
      </w:r>
    </w:p>
    <w:p w:rsidR="00DF6F4F" w:rsidRDefault="00DF6F4F" w:rsidP="00E6669F">
      <w:pPr>
        <w:pStyle w:val="ListParagraph"/>
        <w:numPr>
          <w:ilvl w:val="0"/>
          <w:numId w:val="4"/>
        </w:numPr>
      </w:pPr>
      <w:r>
        <w:t>Set up a graph of Absolute Pressure vs. Syringe Volume.</w:t>
      </w:r>
    </w:p>
    <w:p w:rsidR="00121F30" w:rsidRDefault="00263612" w:rsidP="00E6669F">
      <w:pPr>
        <w:pStyle w:val="ListParagraph"/>
        <w:numPr>
          <w:ilvl w:val="0"/>
          <w:numId w:val="4"/>
        </w:numPr>
      </w:pPr>
      <w:r>
        <w:t>Disconnect the white plastic pressure coupler from the</w:t>
      </w:r>
      <w:r w:rsidR="00121F30">
        <w:t xml:space="preserve"> Absolute Pressure</w:t>
      </w:r>
      <w:r>
        <w:t xml:space="preserve"> </w:t>
      </w:r>
      <w:r w:rsidR="00121F30">
        <w:t>S</w:t>
      </w:r>
      <w:r>
        <w:t>ensor.</w:t>
      </w:r>
      <w:r w:rsidR="00121F30">
        <w:t xml:space="preserve"> Calibrate the Absolute Pressure Sensor using a one-point calibration in the Calibration Tool on the left of the page in PASCO Capstone.</w:t>
      </w:r>
    </w:p>
    <w:p w:rsidR="00682E4F" w:rsidRDefault="00263612" w:rsidP="00E6669F">
      <w:pPr>
        <w:pStyle w:val="ListParagraph"/>
        <w:numPr>
          <w:ilvl w:val="0"/>
          <w:numId w:val="4"/>
        </w:numPr>
      </w:pPr>
      <w:r>
        <w:t xml:space="preserve">Set the plunger at </w:t>
      </w:r>
      <w:r w:rsidR="00435BBB">
        <w:t>50</w:t>
      </w:r>
      <w:r>
        <w:t xml:space="preserve"> </w:t>
      </w:r>
      <w:r w:rsidR="00ED4F00">
        <w:t>ml</w:t>
      </w:r>
      <w:r>
        <w:t>, and then re-connect the coupler to the sensor</w:t>
      </w:r>
      <w:r w:rsidR="00682E4F">
        <w:t>.</w:t>
      </w:r>
    </w:p>
    <w:p w:rsidR="00263612" w:rsidRDefault="008D10AE" w:rsidP="00E6669F">
      <w:pPr>
        <w:pStyle w:val="ListParagraph"/>
        <w:numPr>
          <w:ilvl w:val="0"/>
          <w:numId w:val="4"/>
        </w:numPr>
      </w:pPr>
      <w:r>
        <w:t>Click on Preview</w:t>
      </w:r>
      <w:r w:rsidR="00263612">
        <w:t xml:space="preserve"> data</w:t>
      </w:r>
      <w:r w:rsidR="00682E4F">
        <w:t xml:space="preserve">.  </w:t>
      </w:r>
      <w:r w:rsidR="00ED4F00">
        <w:t>Press Keep while the plunger is still at 50 ml. Then compress the plunger to 45 ml</w:t>
      </w:r>
      <w:r w:rsidR="00682E4F">
        <w:t xml:space="preserve"> and hold it at this position.  Watch </w:t>
      </w:r>
      <w:r w:rsidR="00263612">
        <w:t xml:space="preserve">the temperature on the </w:t>
      </w:r>
      <w:r w:rsidR="00ED4F00">
        <w:t>temperature column</w:t>
      </w:r>
      <w:r w:rsidR="007D7E62">
        <w:t xml:space="preserve"> and wait until it has dropped down to close to room temperature</w:t>
      </w:r>
      <w:r w:rsidR="00263612">
        <w:t>.</w:t>
      </w:r>
      <w:r w:rsidR="007D7E62">
        <w:t xml:space="preserve"> </w:t>
      </w:r>
      <w:r w:rsidR="00ED4F00">
        <w:t xml:space="preserve"> Press Keep.</w:t>
      </w:r>
      <w:r w:rsidR="00263612">
        <w:t xml:space="preserve">  Each time you compress the air in this sequence, wait until the temperature returns back down </w:t>
      </w:r>
      <w:r w:rsidR="007D7E62">
        <w:t xml:space="preserve">close </w:t>
      </w:r>
      <w:r w:rsidR="00263612">
        <w:t xml:space="preserve">to </w:t>
      </w:r>
      <w:r w:rsidR="007D7E62">
        <w:t>t</w:t>
      </w:r>
      <w:r w:rsidR="00263612">
        <w:t>his value.</w:t>
      </w:r>
    </w:p>
    <w:p w:rsidR="00263612" w:rsidRDefault="00ED4F00" w:rsidP="00E6669F">
      <w:pPr>
        <w:pStyle w:val="ListParagraph"/>
        <w:numPr>
          <w:ilvl w:val="0"/>
          <w:numId w:val="4"/>
        </w:numPr>
      </w:pPr>
      <w:r>
        <w:t>Compress the plunger to 40 ml</w:t>
      </w:r>
      <w:r w:rsidR="00263612">
        <w:t xml:space="preserve"> and hold it at this pos</w:t>
      </w:r>
      <w:r w:rsidR="00523D67">
        <w:t>ition.  Watch the temperatur</w:t>
      </w:r>
      <w:r>
        <w:t>e, and hold the plunger at 40 ml</w:t>
      </w:r>
      <w:r w:rsidR="00523D67">
        <w:t xml:space="preserve"> until the temperature has dropped </w:t>
      </w:r>
      <w:r w:rsidR="007D7E62">
        <w:t>to</w:t>
      </w:r>
      <w:r w:rsidR="00523D67">
        <w:t xml:space="preserve"> the value you noted in step 3.</w:t>
      </w:r>
      <w:r w:rsidR="00280D4E">
        <w:t xml:space="preserve">  Do not release the plunger.</w:t>
      </w:r>
    </w:p>
    <w:p w:rsidR="00523D67" w:rsidRDefault="00523D67" w:rsidP="00E6669F">
      <w:pPr>
        <w:pStyle w:val="ListParagraph"/>
        <w:numPr>
          <w:ilvl w:val="0"/>
          <w:numId w:val="4"/>
        </w:numPr>
      </w:pPr>
      <w:r>
        <w:t>Compress the plunger to 3</w:t>
      </w:r>
      <w:r w:rsidR="00ED4F00">
        <w:t>5 ml</w:t>
      </w:r>
      <w:r>
        <w:t>, and wait until the temperature drops as before.</w:t>
      </w:r>
    </w:p>
    <w:p w:rsidR="00ED4F00" w:rsidRDefault="00ED4F00" w:rsidP="00E6669F">
      <w:pPr>
        <w:pStyle w:val="ListParagraph"/>
        <w:numPr>
          <w:ilvl w:val="0"/>
          <w:numId w:val="4"/>
        </w:numPr>
      </w:pPr>
      <w:r>
        <w:t>Repeat for 30 ml</w:t>
      </w:r>
      <w:r w:rsidR="00523D67">
        <w:t xml:space="preserve"> and 2</w:t>
      </w:r>
      <w:r>
        <w:t>5</w:t>
      </w:r>
      <w:r w:rsidR="00523D67">
        <w:t xml:space="preserve"> </w:t>
      </w:r>
      <w:r>
        <w:t>ml</w:t>
      </w:r>
      <w:r w:rsidR="00523D67">
        <w:t>.</w:t>
      </w:r>
    </w:p>
    <w:p w:rsidR="00523D67" w:rsidRDefault="00523D67" w:rsidP="00E6669F">
      <w:pPr>
        <w:pStyle w:val="ListParagraph"/>
        <w:numPr>
          <w:ilvl w:val="0"/>
          <w:numId w:val="4"/>
        </w:numPr>
      </w:pPr>
      <w:r>
        <w:t>Stop recording data.</w:t>
      </w:r>
    </w:p>
    <w:p w:rsidR="00297BB6" w:rsidRDefault="00297BB6" w:rsidP="00E6669F">
      <w:pPr>
        <w:widowControl/>
        <w:autoSpaceDE/>
        <w:autoSpaceDN/>
        <w:adjustRightInd/>
      </w:pPr>
    </w:p>
    <w:p w:rsidR="006448E1" w:rsidRPr="00166DFB" w:rsidRDefault="00297BB6" w:rsidP="00E6669F">
      <w:pPr>
        <w:widowControl/>
        <w:autoSpaceDE/>
        <w:autoSpaceDN/>
        <w:adjustRightInd/>
        <w:rPr>
          <w:sz w:val="28"/>
          <w:szCs w:val="28"/>
        </w:rPr>
      </w:pPr>
      <w:r w:rsidRPr="00166DFB">
        <w:rPr>
          <w:sz w:val="28"/>
          <w:szCs w:val="28"/>
        </w:rPr>
        <w:t>A</w:t>
      </w:r>
      <w:r w:rsidR="00121F30" w:rsidRPr="00166DFB">
        <w:rPr>
          <w:sz w:val="28"/>
          <w:szCs w:val="28"/>
        </w:rPr>
        <w:t>nalysis</w:t>
      </w:r>
    </w:p>
    <w:p w:rsidR="00BA6B37" w:rsidRDefault="00BA6B37" w:rsidP="00E6669F"/>
    <w:p w:rsidR="00297BB6" w:rsidRPr="00297BB6" w:rsidRDefault="00297BB6" w:rsidP="00E6669F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297BB6">
        <w:t>Looking at the Pressure vs. Volume graph, try various QuickCalcs on the Volume axis to see what results in a straight line. Then do a linear curve</w:t>
      </w:r>
      <w:r>
        <w:t>-</w:t>
      </w:r>
      <w:r w:rsidRPr="00297BB6">
        <w:t>fit to see how well it fits.</w:t>
      </w:r>
    </w:p>
    <w:p w:rsidR="00B832DC" w:rsidRDefault="00297BB6" w:rsidP="00E6669F">
      <w:pPr>
        <w:pStyle w:val="ListParagraph"/>
        <w:numPr>
          <w:ilvl w:val="0"/>
          <w:numId w:val="5"/>
        </w:numPr>
      </w:pPr>
      <w:r w:rsidRPr="00297BB6">
        <w:t>How are Absolute Pressure and Volume related according to your results? Under what condition is this relationship true?</w:t>
      </w:r>
    </w:p>
    <w:p w:rsidR="00297BB6" w:rsidRDefault="00297BB6" w:rsidP="00E6669F">
      <w:pPr>
        <w:pStyle w:val="ListParagraph"/>
        <w:numPr>
          <w:ilvl w:val="0"/>
          <w:numId w:val="5"/>
        </w:numPr>
      </w:pPr>
      <w:r>
        <w:t>What physical quantities make up the slope of your straight-line graph?</w:t>
      </w:r>
    </w:p>
    <w:p w:rsidR="007C0C23" w:rsidRDefault="00297BB6" w:rsidP="00E6669F">
      <w:pPr>
        <w:pStyle w:val="ListParagraph"/>
        <w:numPr>
          <w:ilvl w:val="0"/>
          <w:numId w:val="5"/>
        </w:numPr>
      </w:pPr>
      <w:r>
        <w:t xml:space="preserve">Use the </w:t>
      </w:r>
      <w:r w:rsidR="007C0C23">
        <w:t>value</w:t>
      </w:r>
      <w:r>
        <w:t xml:space="preserve"> of the slope</w:t>
      </w:r>
      <w:r w:rsidR="007C0C23">
        <w:t xml:space="preserve"> to determine the number of moles (n) of air</w:t>
      </w:r>
      <w:r w:rsidR="00F37E25">
        <w:t xml:space="preserve"> in the syringe</w:t>
      </w:r>
      <w:r w:rsidR="007C0C23">
        <w:t xml:space="preserve">.  Pay attention to the units! </w:t>
      </w:r>
    </w:p>
    <w:p w:rsidR="00355DD3" w:rsidRDefault="007C0C23" w:rsidP="00E6669F">
      <w:pPr>
        <w:pStyle w:val="ListParagraph"/>
        <w:numPr>
          <w:ilvl w:val="0"/>
          <w:numId w:val="5"/>
        </w:numPr>
      </w:pPr>
      <w:r>
        <w:t xml:space="preserve">Look carefully at the graph.  Why is there an offset in the axis for the volume?  How do </w:t>
      </w:r>
      <w:proofErr w:type="spellStart"/>
      <w:r>
        <w:t>you</w:t>
      </w:r>
      <w:proofErr w:type="spellEnd"/>
      <w:r>
        <w:t xml:space="preserve"> account for this extra volume?</w:t>
      </w:r>
    </w:p>
    <w:p w:rsidR="00B832DC" w:rsidRDefault="00B832DC" w:rsidP="00E6669F">
      <w:pPr>
        <w:ind w:left="720" w:hanging="720"/>
      </w:pPr>
    </w:p>
    <w:p w:rsidR="009C3FBA" w:rsidRPr="00166DFB" w:rsidRDefault="00121F30" w:rsidP="00E6669F">
      <w:pPr>
        <w:ind w:left="720" w:hanging="720"/>
        <w:outlineLvl w:val="0"/>
        <w:rPr>
          <w:sz w:val="28"/>
          <w:szCs w:val="28"/>
        </w:rPr>
      </w:pPr>
      <w:r w:rsidRPr="00166DFB">
        <w:rPr>
          <w:sz w:val="28"/>
          <w:szCs w:val="28"/>
        </w:rPr>
        <w:t>Further Investigations</w:t>
      </w:r>
    </w:p>
    <w:p w:rsidR="00355DD3" w:rsidRDefault="00355DD3" w:rsidP="00E6669F"/>
    <w:p w:rsidR="009C3FBA" w:rsidRDefault="009C3FBA" w:rsidP="00E6669F">
      <w:pPr>
        <w:ind w:left="720" w:hanging="720"/>
      </w:pPr>
      <w:r>
        <w:t>1.</w:t>
      </w:r>
      <w:r>
        <w:tab/>
        <w:t xml:space="preserve">Disconnect the white plastic pressure coupler from the sensor.  Set the plunger at 60 cc, and then re-connect the coupler to the sensor.  </w:t>
      </w:r>
    </w:p>
    <w:p w:rsidR="009C3FBA" w:rsidRDefault="009C3FBA" w:rsidP="00E6669F">
      <w:pPr>
        <w:ind w:left="720" w:hanging="720"/>
      </w:pPr>
      <w:r>
        <w:t>2.</w:t>
      </w:r>
      <w:r>
        <w:tab/>
        <w:t xml:space="preserve">Repeat the procedure, taking pressure and temperature data at each of the volumes (40cc, 35cc, etc.) </w:t>
      </w:r>
      <w:r w:rsidR="00CE1149">
        <w:t>as you did before.</w:t>
      </w:r>
    </w:p>
    <w:p w:rsidR="00355DD3" w:rsidRDefault="00CE1149" w:rsidP="00E6669F">
      <w:pPr>
        <w:ind w:left="720" w:hanging="720"/>
      </w:pPr>
      <w:r>
        <w:t>3.</w:t>
      </w:r>
      <w:r>
        <w:tab/>
        <w:t xml:space="preserve">Put this new data on the same graph.  Why is this slope different?  Is the volume offset </w:t>
      </w:r>
      <w:r w:rsidRPr="00CE1149">
        <w:rPr>
          <w:b/>
        </w:rPr>
        <w:t>about</w:t>
      </w:r>
      <w:r>
        <w:t xml:space="preserve"> the same as before?</w:t>
      </w:r>
    </w:p>
    <w:p w:rsidR="009C3FBA" w:rsidRDefault="002A677A" w:rsidP="00E6669F">
      <w:r>
        <w:br w:type="page"/>
      </w:r>
    </w:p>
    <w:p w:rsidR="000871FD" w:rsidRDefault="000871FD" w:rsidP="00E6669F"/>
    <w:p w:rsidR="00F1525C" w:rsidRPr="007F41EA" w:rsidRDefault="00F1525C" w:rsidP="00E6669F">
      <w:pPr>
        <w:widowControl/>
        <w:autoSpaceDE/>
        <w:autoSpaceDN/>
        <w:adjustRightInd/>
        <w:rPr>
          <w:b/>
        </w:rPr>
      </w:pPr>
    </w:p>
    <w:p w:rsidR="00FB162A" w:rsidRPr="00166DFB" w:rsidRDefault="00121F30" w:rsidP="00E6669F">
      <w:pPr>
        <w:ind w:left="720" w:hanging="720"/>
        <w:outlineLvl w:val="0"/>
        <w:rPr>
          <w:sz w:val="28"/>
          <w:szCs w:val="28"/>
        </w:rPr>
      </w:pPr>
      <w:r w:rsidRPr="00166DFB">
        <w:rPr>
          <w:sz w:val="28"/>
          <w:szCs w:val="28"/>
        </w:rPr>
        <w:t>Conclusion</w:t>
      </w:r>
    </w:p>
    <w:p w:rsidR="00FB162A" w:rsidRDefault="00FB162A" w:rsidP="00E6669F">
      <w:pPr>
        <w:ind w:left="720" w:hanging="720"/>
      </w:pPr>
    </w:p>
    <w:p w:rsidR="003A0DD5" w:rsidRDefault="003A0DD5" w:rsidP="00E6669F">
      <w:pPr>
        <w:pStyle w:val="NormalWeb"/>
        <w:spacing w:before="0" w:beforeAutospacing="0" w:after="0" w:afterAutospacing="0"/>
      </w:pPr>
      <w:r>
        <w:t>Write a summary of your results. What general conclusions can you draw from your results? For instance, how does the pressure of a gas change when the volume is decreased at constant temperature?</w:t>
      </w:r>
      <w:r w:rsidR="00121F30">
        <w:t xml:space="preserve"> What is Boyle’s Law?</w:t>
      </w:r>
    </w:p>
    <w:p w:rsidR="00036C5F" w:rsidRDefault="00036C5F" w:rsidP="00BF53E3">
      <w:pPr>
        <w:widowControl/>
        <w:autoSpaceDE/>
        <w:autoSpaceDN/>
        <w:adjustRightInd/>
      </w:pPr>
      <w:bookmarkStart w:id="0" w:name="_GoBack"/>
      <w:bookmarkEnd w:id="0"/>
    </w:p>
    <w:sectPr w:rsidR="00036C5F" w:rsidSect="00166DFB">
      <w:headerReference w:type="default" r:id="rId10"/>
      <w:footerReference w:type="default" r:id="rId11"/>
      <w:type w:val="continuous"/>
      <w:pgSz w:w="12240" w:h="15840"/>
      <w:pgMar w:top="1440" w:right="1440" w:bottom="1440" w:left="1440" w:header="720" w:footer="84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703" w:rsidRDefault="00670703">
      <w:r>
        <w:separator/>
      </w:r>
    </w:p>
  </w:endnote>
  <w:endnote w:type="continuationSeparator" w:id="0">
    <w:p w:rsidR="00670703" w:rsidRDefault="0067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2A" w:rsidRDefault="00BD628A">
    <w:pPr>
      <w:pStyle w:val="Footer"/>
      <w:tabs>
        <w:tab w:val="clear" w:pos="4320"/>
        <w:tab w:val="center" w:pos="8640"/>
        <w:tab w:val="right" w:pos="9360"/>
      </w:tabs>
      <w:rPr>
        <w:rFonts w:ascii="Arial" w:hAnsi="Arial"/>
        <w:i/>
        <w:color w:val="808080"/>
      </w:rPr>
    </w:pPr>
    <w:r>
      <w:rPr>
        <w:i/>
        <w:sz w:val="16"/>
      </w:rPr>
      <w:t xml:space="preserve">Written by </w:t>
    </w:r>
    <w:r w:rsidR="00464020">
      <w:rPr>
        <w:i/>
        <w:sz w:val="16"/>
      </w:rPr>
      <w:t>Ann Hanks</w:t>
    </w:r>
    <w:r w:rsidR="00FB162A">
      <w:tab/>
    </w:r>
    <w:r w:rsidR="00464020">
      <w:rPr>
        <w:noProof/>
      </w:rPr>
      <w:drawing>
        <wp:inline distT="0" distB="0" distL="0" distR="0">
          <wp:extent cx="891540" cy="175260"/>
          <wp:effectExtent l="19050" t="0" r="3810" b="0"/>
          <wp:docPr id="5" name="Picture 5" descr="LOGO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BL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540" cy="175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703" w:rsidRDefault="00670703">
      <w:r>
        <w:separator/>
      </w:r>
    </w:p>
  </w:footnote>
  <w:footnote w:type="continuationSeparator" w:id="0">
    <w:p w:rsidR="00670703" w:rsidRDefault="00670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2A" w:rsidRPr="003A7F89" w:rsidRDefault="00FF0042" w:rsidP="000D6DB8">
    <w:pPr>
      <w:pStyle w:val="Header"/>
      <w:tabs>
        <w:tab w:val="clear" w:pos="8640"/>
        <w:tab w:val="right" w:pos="9180"/>
      </w:tabs>
      <w:rPr>
        <w:i/>
        <w:sz w:val="20"/>
      </w:rPr>
    </w:pPr>
    <w:r>
      <w:rPr>
        <w:i/>
        <w:sz w:val="20"/>
      </w:rPr>
      <w:t xml:space="preserve">54 Boyle’s </w:t>
    </w:r>
    <w:r w:rsidR="00EC58EC">
      <w:rPr>
        <w:i/>
        <w:sz w:val="20"/>
      </w:rPr>
      <w:t>Law</w:t>
    </w:r>
    <w:r w:rsidR="000D6DB8">
      <w:rPr>
        <w:i/>
        <w:sz w:val="20"/>
      </w:rPr>
      <w:tab/>
    </w:r>
    <w:r w:rsidR="000D6DB8">
      <w:rPr>
        <w:i/>
        <w:sz w:val="20"/>
      </w:rPr>
      <w:tab/>
      <w:t xml:space="preserve">54 - </w:t>
    </w:r>
    <w:r w:rsidR="003A7F89" w:rsidRPr="003A7F89">
      <w:rPr>
        <w:i/>
        <w:sz w:val="20"/>
      </w:rPr>
      <w:t xml:space="preserve">Page </w:t>
    </w:r>
    <w:r w:rsidR="00A7193A" w:rsidRPr="003A7F89">
      <w:rPr>
        <w:i/>
        <w:sz w:val="20"/>
      </w:rPr>
      <w:fldChar w:fldCharType="begin"/>
    </w:r>
    <w:r w:rsidR="003A7F89" w:rsidRPr="003A7F89">
      <w:rPr>
        <w:i/>
        <w:sz w:val="20"/>
      </w:rPr>
      <w:instrText xml:space="preserve"> PAGE </w:instrText>
    </w:r>
    <w:r w:rsidR="00A7193A" w:rsidRPr="003A7F89">
      <w:rPr>
        <w:i/>
        <w:sz w:val="20"/>
      </w:rPr>
      <w:fldChar w:fldCharType="separate"/>
    </w:r>
    <w:r w:rsidR="00BF53E3">
      <w:rPr>
        <w:i/>
        <w:noProof/>
        <w:sz w:val="20"/>
      </w:rPr>
      <w:t>3</w:t>
    </w:r>
    <w:r w:rsidR="00A7193A" w:rsidRPr="003A7F89">
      <w:rPr>
        <w:i/>
        <w:sz w:val="20"/>
      </w:rPr>
      <w:fldChar w:fldCharType="end"/>
    </w:r>
    <w:r w:rsidR="003A7F89" w:rsidRPr="003A7F89">
      <w:rPr>
        <w:i/>
        <w:sz w:val="20"/>
      </w:rPr>
      <w:t xml:space="preserve"> of </w:t>
    </w:r>
    <w:r w:rsidR="00A7193A" w:rsidRPr="003A7F89">
      <w:rPr>
        <w:i/>
        <w:sz w:val="20"/>
      </w:rPr>
      <w:fldChar w:fldCharType="begin"/>
    </w:r>
    <w:r w:rsidR="003A7F89" w:rsidRPr="003A7F89">
      <w:rPr>
        <w:i/>
        <w:sz w:val="20"/>
      </w:rPr>
      <w:instrText xml:space="preserve"> NUMPAGES </w:instrText>
    </w:r>
    <w:r w:rsidR="00A7193A" w:rsidRPr="003A7F89">
      <w:rPr>
        <w:i/>
        <w:sz w:val="20"/>
      </w:rPr>
      <w:fldChar w:fldCharType="separate"/>
    </w:r>
    <w:r w:rsidR="00BF53E3">
      <w:rPr>
        <w:i/>
        <w:noProof/>
        <w:sz w:val="20"/>
      </w:rPr>
      <w:t>3</w:t>
    </w:r>
    <w:r w:rsidR="00A7193A" w:rsidRPr="003A7F89">
      <w:rPr>
        <w:i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2E9CA6A"/>
    <w:multiLevelType w:val="hybridMultilevel"/>
    <w:tmpl w:val="DC72EED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801C3"/>
    <w:multiLevelType w:val="hybridMultilevel"/>
    <w:tmpl w:val="6D5E16A4"/>
    <w:lvl w:ilvl="0" w:tplc="C6CAAA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D32E5"/>
    <w:multiLevelType w:val="hybridMultilevel"/>
    <w:tmpl w:val="5E984722"/>
    <w:lvl w:ilvl="0" w:tplc="8E04A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2197"/>
    <w:multiLevelType w:val="hybridMultilevel"/>
    <w:tmpl w:val="C1D25224"/>
    <w:lvl w:ilvl="0" w:tplc="8E04AA6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E21F4"/>
    <w:multiLevelType w:val="hybridMultilevel"/>
    <w:tmpl w:val="A8D47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344B3"/>
    <w:multiLevelType w:val="hybridMultilevel"/>
    <w:tmpl w:val="BAF6E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14353"/>
    <w:multiLevelType w:val="hybridMultilevel"/>
    <w:tmpl w:val="0CC2D180"/>
    <w:lvl w:ilvl="0" w:tplc="C6CAAA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E335F"/>
    <w:multiLevelType w:val="hybridMultilevel"/>
    <w:tmpl w:val="86201A44"/>
    <w:lvl w:ilvl="0" w:tplc="F4306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B58DD"/>
    <w:multiLevelType w:val="hybridMultilevel"/>
    <w:tmpl w:val="B2EC8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A219D"/>
    <w:multiLevelType w:val="hybridMultilevel"/>
    <w:tmpl w:val="89A26E96"/>
    <w:lvl w:ilvl="0" w:tplc="F4306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F618C"/>
    <w:multiLevelType w:val="hybridMultilevel"/>
    <w:tmpl w:val="1D78E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E4263"/>
    <w:multiLevelType w:val="hybridMultilevel"/>
    <w:tmpl w:val="21D66270"/>
    <w:lvl w:ilvl="0" w:tplc="75FEF74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A7228"/>
    <w:multiLevelType w:val="hybridMultilevel"/>
    <w:tmpl w:val="89807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53FD8"/>
    <w:multiLevelType w:val="hybridMultilevel"/>
    <w:tmpl w:val="4E8CE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5"/>
  </w:num>
  <w:num w:numId="5">
    <w:abstractNumId w:val="13"/>
  </w:num>
  <w:num w:numId="6">
    <w:abstractNumId w:val="8"/>
  </w:num>
  <w:num w:numId="7">
    <w:abstractNumId w:val="10"/>
  </w:num>
  <w:num w:numId="8">
    <w:abstractNumId w:val="3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95"/>
    <w:rsid w:val="00007066"/>
    <w:rsid w:val="00011577"/>
    <w:rsid w:val="00036C5F"/>
    <w:rsid w:val="0004747C"/>
    <w:rsid w:val="00065782"/>
    <w:rsid w:val="000871FD"/>
    <w:rsid w:val="000913C8"/>
    <w:rsid w:val="000D0169"/>
    <w:rsid w:val="000D6DB8"/>
    <w:rsid w:val="000E4B9E"/>
    <w:rsid w:val="000F49E6"/>
    <w:rsid w:val="00120D2A"/>
    <w:rsid w:val="00121F30"/>
    <w:rsid w:val="00157D4F"/>
    <w:rsid w:val="00166DFB"/>
    <w:rsid w:val="001A0D44"/>
    <w:rsid w:val="001A7989"/>
    <w:rsid w:val="00202B76"/>
    <w:rsid w:val="00205D58"/>
    <w:rsid w:val="00216B39"/>
    <w:rsid w:val="00242B0A"/>
    <w:rsid w:val="00263612"/>
    <w:rsid w:val="00280D4E"/>
    <w:rsid w:val="00297BB6"/>
    <w:rsid w:val="002A677A"/>
    <w:rsid w:val="002C126F"/>
    <w:rsid w:val="002E602D"/>
    <w:rsid w:val="002F2112"/>
    <w:rsid w:val="002F6538"/>
    <w:rsid w:val="0030191F"/>
    <w:rsid w:val="003146FB"/>
    <w:rsid w:val="00323871"/>
    <w:rsid w:val="0033289C"/>
    <w:rsid w:val="00343E3D"/>
    <w:rsid w:val="00355DD3"/>
    <w:rsid w:val="003647D6"/>
    <w:rsid w:val="00397121"/>
    <w:rsid w:val="003A0DD5"/>
    <w:rsid w:val="003A7F89"/>
    <w:rsid w:val="003B5CBB"/>
    <w:rsid w:val="004033C2"/>
    <w:rsid w:val="0040717D"/>
    <w:rsid w:val="00426C7D"/>
    <w:rsid w:val="00435BBB"/>
    <w:rsid w:val="00454D95"/>
    <w:rsid w:val="00464020"/>
    <w:rsid w:val="00466052"/>
    <w:rsid w:val="00487693"/>
    <w:rsid w:val="004A28F5"/>
    <w:rsid w:val="004A39CF"/>
    <w:rsid w:val="004E3046"/>
    <w:rsid w:val="004E5A80"/>
    <w:rsid w:val="005018EC"/>
    <w:rsid w:val="0050230F"/>
    <w:rsid w:val="00512229"/>
    <w:rsid w:val="00523D67"/>
    <w:rsid w:val="005573F2"/>
    <w:rsid w:val="00594B2A"/>
    <w:rsid w:val="005965A0"/>
    <w:rsid w:val="005D14A8"/>
    <w:rsid w:val="005F46E7"/>
    <w:rsid w:val="00634629"/>
    <w:rsid w:val="006448E1"/>
    <w:rsid w:val="00651AFE"/>
    <w:rsid w:val="006527E4"/>
    <w:rsid w:val="00660601"/>
    <w:rsid w:val="00670703"/>
    <w:rsid w:val="00682E4F"/>
    <w:rsid w:val="00683C32"/>
    <w:rsid w:val="006852A0"/>
    <w:rsid w:val="00687884"/>
    <w:rsid w:val="006B3895"/>
    <w:rsid w:val="006B478C"/>
    <w:rsid w:val="006D6198"/>
    <w:rsid w:val="006E7BB9"/>
    <w:rsid w:val="00710B41"/>
    <w:rsid w:val="00717E38"/>
    <w:rsid w:val="00730EE6"/>
    <w:rsid w:val="00741F2E"/>
    <w:rsid w:val="0077634E"/>
    <w:rsid w:val="00786D0B"/>
    <w:rsid w:val="007A40CC"/>
    <w:rsid w:val="007A6CBF"/>
    <w:rsid w:val="007B3D92"/>
    <w:rsid w:val="007C0C23"/>
    <w:rsid w:val="007D0AAC"/>
    <w:rsid w:val="007D7E62"/>
    <w:rsid w:val="007E27B8"/>
    <w:rsid w:val="007E284C"/>
    <w:rsid w:val="007F1572"/>
    <w:rsid w:val="007F2DC3"/>
    <w:rsid w:val="007F41EA"/>
    <w:rsid w:val="00801F09"/>
    <w:rsid w:val="008312B6"/>
    <w:rsid w:val="0084748C"/>
    <w:rsid w:val="00855062"/>
    <w:rsid w:val="008561C3"/>
    <w:rsid w:val="0086690F"/>
    <w:rsid w:val="008774DA"/>
    <w:rsid w:val="008802F7"/>
    <w:rsid w:val="008B0EBF"/>
    <w:rsid w:val="008C3E62"/>
    <w:rsid w:val="008D0038"/>
    <w:rsid w:val="008D10AE"/>
    <w:rsid w:val="009054E9"/>
    <w:rsid w:val="0091789C"/>
    <w:rsid w:val="00917C5E"/>
    <w:rsid w:val="00932AD5"/>
    <w:rsid w:val="00934D79"/>
    <w:rsid w:val="009825EA"/>
    <w:rsid w:val="0099651D"/>
    <w:rsid w:val="009C3FBA"/>
    <w:rsid w:val="009C4958"/>
    <w:rsid w:val="00A22BC1"/>
    <w:rsid w:val="00A30750"/>
    <w:rsid w:val="00A7193A"/>
    <w:rsid w:val="00A747EE"/>
    <w:rsid w:val="00AD4F94"/>
    <w:rsid w:val="00AF12C5"/>
    <w:rsid w:val="00B20C29"/>
    <w:rsid w:val="00B26F36"/>
    <w:rsid w:val="00B30A69"/>
    <w:rsid w:val="00B55CB4"/>
    <w:rsid w:val="00B81456"/>
    <w:rsid w:val="00B832DC"/>
    <w:rsid w:val="00B92B79"/>
    <w:rsid w:val="00B95413"/>
    <w:rsid w:val="00BA650C"/>
    <w:rsid w:val="00BA6B37"/>
    <w:rsid w:val="00BC1F45"/>
    <w:rsid w:val="00BD628A"/>
    <w:rsid w:val="00BE105D"/>
    <w:rsid w:val="00BE4BE0"/>
    <w:rsid w:val="00BE6213"/>
    <w:rsid w:val="00BF53E3"/>
    <w:rsid w:val="00C10F27"/>
    <w:rsid w:val="00C824D5"/>
    <w:rsid w:val="00CA2847"/>
    <w:rsid w:val="00CA4011"/>
    <w:rsid w:val="00CE1149"/>
    <w:rsid w:val="00D01E88"/>
    <w:rsid w:val="00D022D0"/>
    <w:rsid w:val="00D14ABE"/>
    <w:rsid w:val="00D271AE"/>
    <w:rsid w:val="00D31F2E"/>
    <w:rsid w:val="00D3622C"/>
    <w:rsid w:val="00D45ADD"/>
    <w:rsid w:val="00D730B9"/>
    <w:rsid w:val="00D75FC7"/>
    <w:rsid w:val="00D90513"/>
    <w:rsid w:val="00DB3AB3"/>
    <w:rsid w:val="00DB574C"/>
    <w:rsid w:val="00DF1A03"/>
    <w:rsid w:val="00DF364F"/>
    <w:rsid w:val="00DF6F4F"/>
    <w:rsid w:val="00DF7831"/>
    <w:rsid w:val="00E10E6F"/>
    <w:rsid w:val="00E1711C"/>
    <w:rsid w:val="00E26407"/>
    <w:rsid w:val="00E3696B"/>
    <w:rsid w:val="00E36B3B"/>
    <w:rsid w:val="00E4395E"/>
    <w:rsid w:val="00E50A39"/>
    <w:rsid w:val="00E6669F"/>
    <w:rsid w:val="00E80C21"/>
    <w:rsid w:val="00E82445"/>
    <w:rsid w:val="00E845BC"/>
    <w:rsid w:val="00E921B7"/>
    <w:rsid w:val="00EC58EC"/>
    <w:rsid w:val="00ED4F00"/>
    <w:rsid w:val="00EE1A44"/>
    <w:rsid w:val="00EE357A"/>
    <w:rsid w:val="00F00015"/>
    <w:rsid w:val="00F1525C"/>
    <w:rsid w:val="00F17381"/>
    <w:rsid w:val="00F178A8"/>
    <w:rsid w:val="00F17FEB"/>
    <w:rsid w:val="00F37E25"/>
    <w:rsid w:val="00FB162A"/>
    <w:rsid w:val="00FB44AF"/>
    <w:rsid w:val="00FC59D2"/>
    <w:rsid w:val="00F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CA9CC7-24A5-4313-B758-31D63CD1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0B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2">
    <w:name w:val="heading 2"/>
    <w:basedOn w:val="Normal"/>
    <w:next w:val="BodyText"/>
    <w:qFormat/>
    <w:rsid w:val="00466052"/>
    <w:pPr>
      <w:widowControl/>
      <w:autoSpaceDE/>
      <w:autoSpaceDN/>
      <w:adjustRightInd/>
      <w:spacing w:before="120"/>
      <w:outlineLvl w:val="1"/>
    </w:pPr>
    <w:rPr>
      <w:rFonts w:ascii="Helvetica" w:hAnsi="Helvetic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D730B9"/>
  </w:style>
  <w:style w:type="paragraph" w:styleId="Header">
    <w:name w:val="header"/>
    <w:basedOn w:val="Normal"/>
    <w:rsid w:val="00D730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30B9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6B478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TDisplayEquation">
    <w:name w:val="MTDisplayEquation"/>
    <w:basedOn w:val="Normal"/>
    <w:next w:val="Normal"/>
    <w:rsid w:val="00D730B9"/>
    <w:pPr>
      <w:tabs>
        <w:tab w:val="center" w:pos="4680"/>
        <w:tab w:val="right" w:pos="9360"/>
      </w:tabs>
    </w:pPr>
    <w:rPr>
      <w:bCs/>
    </w:rPr>
  </w:style>
  <w:style w:type="paragraph" w:customStyle="1" w:styleId="CM22">
    <w:name w:val="CM22"/>
    <w:basedOn w:val="Default"/>
    <w:next w:val="Default"/>
    <w:rsid w:val="006B478C"/>
    <w:pPr>
      <w:spacing w:after="150"/>
    </w:pPr>
    <w:rPr>
      <w:color w:val="auto"/>
    </w:rPr>
  </w:style>
  <w:style w:type="paragraph" w:customStyle="1" w:styleId="CM26">
    <w:name w:val="CM26"/>
    <w:basedOn w:val="Default"/>
    <w:next w:val="Default"/>
    <w:rsid w:val="006B478C"/>
    <w:pPr>
      <w:spacing w:after="395"/>
    </w:pPr>
    <w:rPr>
      <w:color w:val="auto"/>
    </w:rPr>
  </w:style>
  <w:style w:type="paragraph" w:customStyle="1" w:styleId="CM27">
    <w:name w:val="CM27"/>
    <w:basedOn w:val="Default"/>
    <w:next w:val="Default"/>
    <w:rsid w:val="006B478C"/>
    <w:pPr>
      <w:spacing w:after="455"/>
    </w:pPr>
    <w:rPr>
      <w:color w:val="auto"/>
    </w:rPr>
  </w:style>
  <w:style w:type="paragraph" w:customStyle="1" w:styleId="CM23">
    <w:name w:val="CM23"/>
    <w:basedOn w:val="Default"/>
    <w:next w:val="Default"/>
    <w:rsid w:val="00011577"/>
    <w:pPr>
      <w:spacing w:after="115"/>
    </w:pPr>
    <w:rPr>
      <w:rFonts w:ascii="Helvetica" w:hAnsi="Helvetica" w:cs="Helvetica"/>
      <w:color w:val="auto"/>
    </w:rPr>
  </w:style>
  <w:style w:type="paragraph" w:customStyle="1" w:styleId="CM24">
    <w:name w:val="CM24"/>
    <w:basedOn w:val="Default"/>
    <w:next w:val="Default"/>
    <w:rsid w:val="00011577"/>
    <w:pPr>
      <w:spacing w:after="418"/>
    </w:pPr>
    <w:rPr>
      <w:rFonts w:ascii="Helvetica" w:hAnsi="Helvetica" w:cs="Helvetica"/>
      <w:color w:val="auto"/>
    </w:rPr>
  </w:style>
  <w:style w:type="paragraph" w:customStyle="1" w:styleId="CM31">
    <w:name w:val="CM31"/>
    <w:basedOn w:val="Default"/>
    <w:next w:val="Default"/>
    <w:rsid w:val="00011577"/>
    <w:pPr>
      <w:spacing w:after="235"/>
    </w:pPr>
    <w:rPr>
      <w:rFonts w:ascii="Helvetica" w:hAnsi="Helvetica" w:cs="Helvetica"/>
      <w:color w:val="auto"/>
    </w:rPr>
  </w:style>
  <w:style w:type="paragraph" w:customStyle="1" w:styleId="CM5">
    <w:name w:val="CM5"/>
    <w:basedOn w:val="Default"/>
    <w:next w:val="Default"/>
    <w:rsid w:val="00011577"/>
    <w:pPr>
      <w:spacing w:line="280" w:lineRule="atLeast"/>
    </w:pPr>
    <w:rPr>
      <w:rFonts w:ascii="Helvetica" w:hAnsi="Helvetica" w:cs="Helvetica"/>
      <w:color w:val="auto"/>
    </w:rPr>
  </w:style>
  <w:style w:type="paragraph" w:customStyle="1" w:styleId="CM6">
    <w:name w:val="CM6"/>
    <w:basedOn w:val="Default"/>
    <w:next w:val="Default"/>
    <w:rsid w:val="00011577"/>
    <w:rPr>
      <w:rFonts w:ascii="Helvetica" w:hAnsi="Helvetica" w:cs="Helvetica"/>
      <w:color w:val="auto"/>
    </w:rPr>
  </w:style>
  <w:style w:type="paragraph" w:customStyle="1" w:styleId="CM34">
    <w:name w:val="CM34"/>
    <w:basedOn w:val="Default"/>
    <w:next w:val="Default"/>
    <w:rsid w:val="00011577"/>
    <w:pPr>
      <w:spacing w:after="232"/>
    </w:pPr>
    <w:rPr>
      <w:rFonts w:ascii="Helvetica" w:hAnsi="Helvetica" w:cs="Helvetica"/>
      <w:color w:val="auto"/>
    </w:rPr>
  </w:style>
  <w:style w:type="paragraph" w:customStyle="1" w:styleId="CM35">
    <w:name w:val="CM35"/>
    <w:basedOn w:val="Default"/>
    <w:next w:val="Default"/>
    <w:rsid w:val="00011577"/>
    <w:pPr>
      <w:spacing w:after="112"/>
    </w:pPr>
    <w:rPr>
      <w:rFonts w:ascii="Helvetica" w:hAnsi="Helvetica" w:cs="Helvetica"/>
      <w:color w:val="auto"/>
    </w:rPr>
  </w:style>
  <w:style w:type="paragraph" w:styleId="DocumentMap">
    <w:name w:val="Document Map"/>
    <w:basedOn w:val="Normal"/>
    <w:semiHidden/>
    <w:rsid w:val="00120D2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">
    <w:name w:val="Body Text"/>
    <w:basedOn w:val="Normal"/>
    <w:rsid w:val="00466052"/>
    <w:pPr>
      <w:widowControl/>
      <w:autoSpaceDE/>
      <w:autoSpaceDN/>
      <w:adjustRightInd/>
      <w:spacing w:before="120"/>
    </w:pPr>
    <w:rPr>
      <w:rFonts w:ascii="Times" w:hAnsi="Times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89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A7989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435BB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7BB6"/>
    <w:pPr>
      <w:widowControl/>
      <w:autoSpaceDE/>
      <w:autoSpaceDN/>
      <w:adjustRightInd/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7F2D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75867-FFBC-42B0-AA41-613BCFE7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Impulse</vt:lpstr>
    </vt:vector>
  </TitlesOfParts>
  <Company>Microsoft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Impulse</dc:title>
  <dc:creator>Ann Hanks</dc:creator>
  <cp:lastModifiedBy>Ann Hanks</cp:lastModifiedBy>
  <cp:revision>2</cp:revision>
  <cp:lastPrinted>2013-03-17T18:04:00Z</cp:lastPrinted>
  <dcterms:created xsi:type="dcterms:W3CDTF">2016-03-28T23:07:00Z</dcterms:created>
  <dcterms:modified xsi:type="dcterms:W3CDTF">2016-03-28T23:07:00Z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